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3" w:rsidRPr="003465A9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Огляд даних судової статистики про стан здійснення правосуддя </w:t>
      </w:r>
      <w:r w:rsidR="00AB0D7F"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Коростенським </w:t>
      </w:r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міськрайонним судом Житомирської області за 201</w:t>
      </w:r>
      <w:r w:rsidR="006144A0" w:rsidRPr="006144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  <w:r w:rsidR="00C42B8B" w:rsidRPr="003465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C42B8B" w:rsidRPr="003B42C3" w:rsidRDefault="00C42B8B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CD2DE0" w:rsidRDefault="003B42C3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завдання </w:t>
      </w:r>
      <w:r w:rsidR="006474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ериторіального управління Державної судової адміністрації України в Житомирській області відповідальними працівниками апарату </w:t>
      </w:r>
      <w:r w:rsidR="00AB0D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Коростенського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міськрайонного суду Житомирської області проведено огляд даних судової статистики за 201</w:t>
      </w:r>
      <w:r w:rsidR="006144A0" w:rsidRPr="006144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рік. Під час проведення даного огляду було використано статистичні </w:t>
      </w:r>
      <w:r w:rsid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дані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звіт</w:t>
      </w:r>
      <w:r w:rsid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суду за 201</w:t>
      </w:r>
      <w:r w:rsidR="006144A0" w:rsidRPr="006144A0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-201</w:t>
      </w:r>
      <w:r w:rsidR="006144A0" w:rsidRPr="006144A0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роки.</w:t>
      </w:r>
    </w:p>
    <w:p w:rsidR="003465A9" w:rsidRDefault="003465A9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Обліково-статистична робота у Коростенському міськрайонному суді Житомирської області ведеться відповідно до Інструкції з діловодства в місцевих </w:t>
      </w:r>
      <w:r w:rsidR="00BE14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загальних судах, 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судами судових справ та матеріалів,  Інструкції щодо формування картки на особу, тощо.</w:t>
      </w:r>
    </w:p>
    <w:p w:rsidR="006D0ED6" w:rsidRPr="003465A9" w:rsidRDefault="006D0ED6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п. 3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6D0ED6" w:rsidRPr="003465A9" w:rsidRDefault="006D0ED6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474E1" w:rsidRDefault="006474E1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</w:t>
      </w:r>
      <w:r w:rsidR="000037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 в Коростенському міськрайонному суді Житомирської області </w:t>
      </w:r>
      <w:r w:rsid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фактичн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чисельність суддів - 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фактично здійснювали судочинство - 6</w:t>
      </w:r>
      <w:r w:rsidR="000037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037B9" w:rsidRDefault="000037B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13.03.2019 року поновлено повноваження судді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Моголівця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І.А.</w:t>
      </w:r>
    </w:p>
    <w:p w:rsidR="003465A9" w:rsidRDefault="006D0ED6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23.08.2017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суддя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Снігір</w:t>
      </w:r>
      <w:proofErr w:type="spellEnd"/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 повноважень.</w:t>
      </w:r>
    </w:p>
    <w:p w:rsidR="000037B9" w:rsidRPr="003465A9" w:rsidRDefault="000037B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Протягом 201</w:t>
      </w:r>
      <w:r w:rsidR="006D0ED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працівниками апарату Коростенського міськрайонного суду Житомирської області належним чином було організовано прийом та своєчасну реєстрацію всіх справ та матеріалів, що надходили до суду.</w:t>
      </w: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Організаційна робота включала в себе</w:t>
      </w:r>
      <w:r w:rsidR="006474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наступне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підготовку та здачу статистичних звітів; проведення взаємозвірки показників звітності щодо виправданих осіб та повернутих судом кримінальних справ з Коростенською місцевою прокуратурою; оновлення ВЕБ-сторінки суду; проведення навчання з працівниками апарату суду; підготовку та передачу справ до архіву суду; проведення нарад з працівниками апарату суду; подання інформації щодо кількості копій судових рішень, надісланих до ЄДРСР; ознайомлення з поточними змінами в законодавстві, підготовка фінансової звітності, проведення перевірки роботи канцелярії суду щодо повноти та своєчасності заповнення обліково-статистичних карток по кримінальних, цивільних та адміністративних справах та ін. </w:t>
      </w:r>
    </w:p>
    <w:p w:rsidR="003465A9" w:rsidRPr="003465A9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74E1" w:rsidRPr="003465A9" w:rsidRDefault="006474E1" w:rsidP="00647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суді протягом 201</w:t>
      </w:r>
      <w:r w:rsidR="006D0ED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проведено ряд організаційних заходів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саме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головою суду та керівником апарату суду проведено наради по підсумках роботи  за попередні періоди  та з питань підготовки та здачі статистичних звітів; підготовлено інформацію стосовно результатів розгляду справ із залишку станом на початок року;  проведено аналіз обліково-статистичної роботи за  201</w:t>
      </w:r>
      <w:r w:rsidR="006D0ED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та 201</w:t>
      </w:r>
      <w:r w:rsidR="006D0ED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рік;  доведено  до відома працівників інформацію, яка систематично надходить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Житомирського </w:t>
      </w:r>
      <w:r w:rsidR="003465A9"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апеляційного суду, ТУ ДСА у Житомирській області; систематично надсилаються  до ЄДРСР копії судових рішень;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відомості щодо набрання судовими рішеннями законної сили.</w:t>
      </w:r>
    </w:p>
    <w:p w:rsidR="006474E1" w:rsidRDefault="003465A9" w:rsidP="00346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Усі квартальні звіти, аналізи, довідки  та інформації за 201</w:t>
      </w:r>
      <w:r w:rsidR="006D0ED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 Коростенським міськрайонним судом надіслані до ТУ ДСА  у визначені строки. Найпоширенішою проблемою, що виникає при складанні звітності</w:t>
      </w:r>
      <w:r w:rsidR="006474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 неточності та відсутність усіх даних  в обліково-статистичних картках. Недоліки усуваються відповідальними працівниками апарату суду.</w:t>
      </w:r>
    </w:p>
    <w:p w:rsidR="003465A9" w:rsidRPr="003465A9" w:rsidRDefault="003465A9" w:rsidP="006474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Також</w:t>
      </w:r>
      <w:r w:rsidR="006474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3465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складанні звітності враховуються прийняті протягом року зміни.</w:t>
      </w:r>
    </w:p>
    <w:p w:rsidR="003465A9" w:rsidRPr="003465A9" w:rsidRDefault="003465A9" w:rsidP="003465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D2DE0" w:rsidRPr="00CD2DE0" w:rsidRDefault="003465A9" w:rsidP="00CD2DE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lastRenderedPageBreak/>
        <w:t xml:space="preserve">Так, </w:t>
      </w:r>
      <w:r w:rsidR="00CD2DE0" w:rsidRPr="00CD2D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 xml:space="preserve">протягом </w:t>
      </w:r>
      <w:r w:rsidR="00CD2DE0" w:rsidRP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201</w:t>
      </w:r>
      <w:r w:rsidR="00962A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9</w:t>
      </w:r>
      <w:r w:rsidR="00CD2DE0" w:rsidRP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 року  в  порівнянні  з  201</w:t>
      </w:r>
      <w:r w:rsidR="00962A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8</w:t>
      </w:r>
      <w:r w:rsidR="00CD2DE0" w:rsidRPr="00CD2D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 роком</w:t>
      </w:r>
      <w:r w:rsidR="00CD2DE0" w:rsidRPr="00CD2DE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 xml:space="preserve"> в провадження </w:t>
      </w:r>
      <w:r w:rsidR="00CD2DE0" w:rsidRPr="00CD2D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>суду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 xml:space="preserve"> </w:t>
      </w:r>
      <w:r w:rsidRPr="003465A9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u w:val="single"/>
          <w:lang w:val="uk-UA" w:eastAsia="ru-RU"/>
        </w:rPr>
        <w:t xml:space="preserve">надійшло </w:t>
      </w:r>
      <w:r w:rsidR="00CD2DE0" w:rsidRPr="00CD2DE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 xml:space="preserve">:                                                                                                                                                                                                    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274"/>
        <w:gridCol w:w="1377"/>
        <w:gridCol w:w="1377"/>
        <w:gridCol w:w="1377"/>
      </w:tblGrid>
      <w:tr w:rsidR="006D0ED6" w:rsidRPr="00CD2DE0" w:rsidTr="006D0ED6">
        <w:tc>
          <w:tcPr>
            <w:tcW w:w="563" w:type="dxa"/>
            <w:shd w:val="clear" w:color="auto" w:fill="auto"/>
          </w:tcPr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74" w:type="dxa"/>
            <w:shd w:val="clear" w:color="auto" w:fill="auto"/>
          </w:tcPr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Категорія справ</w:t>
            </w:r>
          </w:p>
        </w:tc>
        <w:tc>
          <w:tcPr>
            <w:tcW w:w="1377" w:type="dxa"/>
          </w:tcPr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8</w:t>
            </w: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377" w:type="dxa"/>
          </w:tcPr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6D0E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9</w:t>
            </w: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377" w:type="dxa"/>
            <w:shd w:val="clear" w:color="auto" w:fill="auto"/>
          </w:tcPr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 w:eastAsia="ru-RU"/>
              </w:rPr>
              <w:t>Різниця</w:t>
            </w:r>
          </w:p>
        </w:tc>
      </w:tr>
      <w:tr w:rsidR="006D0ED6" w:rsidRPr="00CD2DE0" w:rsidTr="006D0ED6">
        <w:tc>
          <w:tcPr>
            <w:tcW w:w="563" w:type="dxa"/>
            <w:shd w:val="clear" w:color="auto" w:fill="auto"/>
          </w:tcPr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1.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2.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3.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4.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5.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6.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</w:tc>
        <w:tc>
          <w:tcPr>
            <w:tcW w:w="5274" w:type="dxa"/>
            <w:shd w:val="clear" w:color="auto" w:fill="auto"/>
          </w:tcPr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кримінальні справи</w:t>
            </w:r>
          </w:p>
          <w:p w:rsidR="006D0ED6" w:rsidRPr="006474E1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кримінальні провадження</w:t>
            </w:r>
          </w:p>
          <w:p w:rsidR="00BA4202" w:rsidRPr="006474E1" w:rsidRDefault="00BA4202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цивільні справи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адміністративні справи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справи про адміністративне правопорушення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розгляд слідчим суддею клопотань, скарг, заяв під час досудового розслідування</w:t>
            </w: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справи щодо розгляду питань у порядку виконання судових рішень</w:t>
            </w:r>
          </w:p>
          <w:p w:rsidR="006D0ED6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CD2DE0" w:rsidRDefault="006D0ED6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377" w:type="dxa"/>
          </w:tcPr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 w:rsidRPr="00CD2D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0</w:t>
            </w:r>
          </w:p>
          <w:p w:rsidR="006D0ED6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362</w:t>
            </w:r>
          </w:p>
          <w:p w:rsidR="00BA4202" w:rsidRPr="00BA4202" w:rsidRDefault="00BA4202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1860</w:t>
            </w: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104</w:t>
            </w: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1838</w:t>
            </w: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2242</w:t>
            </w: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Pr="00CD2DE0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</w:p>
          <w:p w:rsidR="006D0ED6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719</w:t>
            </w:r>
          </w:p>
          <w:p w:rsidR="006D0ED6" w:rsidRDefault="006D0ED6" w:rsidP="00FF1AE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  <w:p w:rsidR="006D0ED6" w:rsidRPr="00560468" w:rsidRDefault="006D0ED6" w:rsidP="00FF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</w:t>
            </w:r>
          </w:p>
        </w:tc>
        <w:tc>
          <w:tcPr>
            <w:tcW w:w="1377" w:type="dxa"/>
          </w:tcPr>
          <w:p w:rsidR="00BA4202" w:rsidRDefault="00BA4202" w:rsidP="00CD2DE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2</w:t>
            </w: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379</w:t>
            </w: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2808</w:t>
            </w: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</w:t>
            </w: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2374</w:t>
            </w: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2386</w:t>
            </w: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4202" w:rsidRDefault="00BA4202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1048</w:t>
            </w:r>
          </w:p>
          <w:p w:rsidR="00BA4202" w:rsidRPr="00BA4202" w:rsidRDefault="007F1FF6" w:rsidP="00BA4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9446</w:t>
            </w:r>
          </w:p>
        </w:tc>
        <w:tc>
          <w:tcPr>
            <w:tcW w:w="1377" w:type="dxa"/>
            <w:shd w:val="clear" w:color="auto" w:fill="auto"/>
          </w:tcPr>
          <w:p w:rsidR="007F1FF6" w:rsidRDefault="007F1FF6" w:rsidP="006D0E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</w:t>
            </w:r>
          </w:p>
          <w:p w:rsidR="006D0ED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+17</w:t>
            </w:r>
          </w:p>
          <w:p w:rsid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+948</w:t>
            </w:r>
          </w:p>
          <w:p w:rsid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+345</w:t>
            </w:r>
          </w:p>
          <w:p w:rsid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+536</w:t>
            </w:r>
          </w:p>
          <w:p w:rsid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+144</w:t>
            </w:r>
          </w:p>
          <w:p w:rsid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+329</w:t>
            </w:r>
          </w:p>
          <w:p w:rsidR="007F1FF6" w:rsidRPr="007F1FF6" w:rsidRDefault="007F1FF6" w:rsidP="007F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+2321</w:t>
            </w:r>
          </w:p>
        </w:tc>
      </w:tr>
    </w:tbl>
    <w:p w:rsidR="00CD2DE0" w:rsidRPr="003B42C3" w:rsidRDefault="00CD2DE0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563B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Упродовж 201</w:t>
      </w:r>
      <w:r w:rsidR="00816D2A" w:rsidRPr="00816D2A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у </w:t>
      </w:r>
      <w:r w:rsidR="005604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на розгляді перебувало </w:t>
      </w:r>
      <w:r w:rsidR="00816D2A" w:rsidRPr="00816D2A">
        <w:rPr>
          <w:rFonts w:ascii="Times New Roman" w:eastAsia="Times New Roman" w:hAnsi="Times New Roman" w:cs="Times New Roman"/>
          <w:sz w:val="24"/>
          <w:szCs w:val="24"/>
          <w:lang w:eastAsia="uk-UA"/>
        </w:rPr>
        <w:t>10042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</w:t>
      </w:r>
      <w:r w:rsidR="00816D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201</w:t>
      </w:r>
      <w:r w:rsidR="00816D2A" w:rsidRPr="00816D2A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 </w:t>
      </w:r>
      <w:r w:rsidR="00816D2A" w:rsidRPr="00816D2A">
        <w:rPr>
          <w:rFonts w:ascii="Times New Roman" w:eastAsia="Times New Roman" w:hAnsi="Times New Roman" w:cs="Times New Roman"/>
          <w:sz w:val="24"/>
          <w:szCs w:val="24"/>
          <w:lang w:eastAsia="uk-UA"/>
        </w:rPr>
        <w:t>8818</w:t>
      </w:r>
      <w:r w:rsidR="00F92B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справ),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на 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1224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справи більше </w:t>
      </w:r>
      <w:r w:rsidR="006474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порівнянні з 201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роком. Дані судової статистики свідчать, що динаміка збільшення спостерігається </w:t>
      </w:r>
      <w:r w:rsidR="006474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надходженні 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всіх категорій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справ 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210EF" w:rsidRDefault="009210EF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201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 судом видано </w:t>
      </w:r>
      <w:r w:rsidR="00F81F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869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виконавчих документи на суму 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21803633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грн, з них про стягнення судового збору на </w:t>
      </w:r>
      <w:proofErr w:type="spellStart"/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сумму</w:t>
      </w:r>
      <w:proofErr w:type="spellEnd"/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452658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 Контроль за своєчасним зверненням до виконання судових рішень здійснює суддя, у провадженні якого перебувала справа.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9210EF" w:rsidRPr="003B42C3" w:rsidRDefault="009210EF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443AF" w:rsidRDefault="003B42C3" w:rsidP="003465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Структурно і динамічно загальні показники справ і матеріалів, що перебували в провадженні суду у 201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-201</w:t>
      </w:r>
      <w:r w:rsidR="00355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роках за видами судочинства представлено у діаграмі та таблиці</w:t>
      </w:r>
    </w:p>
    <w:p w:rsidR="009210EF" w:rsidRDefault="009210EF" w:rsidP="003465A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465A9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Діаграма 1</w:t>
      </w:r>
    </w:p>
    <w:p w:rsidR="003465A9" w:rsidRDefault="003465A9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465A9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09310" cy="226885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65A9" w:rsidRDefault="003465A9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Таблиця 1</w:t>
      </w:r>
    </w:p>
    <w:tbl>
      <w:tblPr>
        <w:tblStyle w:val="1"/>
        <w:tblW w:w="10569" w:type="dxa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2381"/>
      </w:tblGrid>
      <w:tr w:rsidR="006A79FB" w:rsidRPr="003B42C3" w:rsidTr="006A79FB">
        <w:tc>
          <w:tcPr>
            <w:tcW w:w="4786" w:type="dxa"/>
          </w:tcPr>
          <w:p w:rsidR="006A79FB" w:rsidRPr="003B42C3" w:rsidRDefault="006A79FB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Перебувало в провадженні справ та матеріалів</w:t>
            </w:r>
          </w:p>
        </w:tc>
        <w:tc>
          <w:tcPr>
            <w:tcW w:w="1701" w:type="dxa"/>
          </w:tcPr>
          <w:p w:rsidR="006A79FB" w:rsidRPr="003B42C3" w:rsidRDefault="006A79FB" w:rsidP="00FF1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2018 рік</w:t>
            </w:r>
          </w:p>
        </w:tc>
        <w:tc>
          <w:tcPr>
            <w:tcW w:w="1701" w:type="dxa"/>
          </w:tcPr>
          <w:p w:rsidR="006A79FB" w:rsidRPr="003B42C3" w:rsidRDefault="006A79FB" w:rsidP="006A7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2381" w:type="dxa"/>
          </w:tcPr>
          <w:p w:rsidR="006A79FB" w:rsidRPr="003B42C3" w:rsidRDefault="006A79FB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Динаміка, -/+</w:t>
            </w:r>
          </w:p>
        </w:tc>
      </w:tr>
      <w:tr w:rsidR="006A79FB" w:rsidRPr="003B42C3" w:rsidTr="006A79FB">
        <w:tc>
          <w:tcPr>
            <w:tcW w:w="4786" w:type="dxa"/>
          </w:tcPr>
          <w:p w:rsidR="006A79FB" w:rsidRPr="003B42C3" w:rsidRDefault="006A79FB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кримінального судочинства</w:t>
            </w:r>
          </w:p>
        </w:tc>
        <w:tc>
          <w:tcPr>
            <w:tcW w:w="1701" w:type="dxa"/>
          </w:tcPr>
          <w:p w:rsidR="006A79FB" w:rsidRPr="003B42C3" w:rsidRDefault="006A79FB" w:rsidP="00FF1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3497</w:t>
            </w:r>
          </w:p>
        </w:tc>
        <w:tc>
          <w:tcPr>
            <w:tcW w:w="170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3764</w:t>
            </w:r>
          </w:p>
        </w:tc>
        <w:tc>
          <w:tcPr>
            <w:tcW w:w="238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+267</w:t>
            </w:r>
          </w:p>
        </w:tc>
      </w:tr>
      <w:tr w:rsidR="006A79FB" w:rsidRPr="003B42C3" w:rsidTr="006A79FB">
        <w:tc>
          <w:tcPr>
            <w:tcW w:w="4786" w:type="dxa"/>
          </w:tcPr>
          <w:p w:rsidR="006A79FB" w:rsidRPr="003B42C3" w:rsidRDefault="006A79FB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адміністративного</w:t>
            </w:r>
          </w:p>
          <w:p w:rsidR="006A79FB" w:rsidRPr="003B42C3" w:rsidRDefault="006A79FB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судочинства</w:t>
            </w:r>
          </w:p>
        </w:tc>
        <w:tc>
          <w:tcPr>
            <w:tcW w:w="1701" w:type="dxa"/>
          </w:tcPr>
          <w:p w:rsidR="006A79FB" w:rsidRPr="003B42C3" w:rsidRDefault="006A79FB" w:rsidP="00FF1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70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238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+121</w:t>
            </w:r>
          </w:p>
        </w:tc>
      </w:tr>
      <w:tr w:rsidR="006A79FB" w:rsidRPr="003B42C3" w:rsidTr="006A79FB">
        <w:tc>
          <w:tcPr>
            <w:tcW w:w="4786" w:type="dxa"/>
          </w:tcPr>
          <w:p w:rsidR="006A79FB" w:rsidRPr="003B42C3" w:rsidRDefault="006A79FB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цивільного судочинства</w:t>
            </w:r>
          </w:p>
        </w:tc>
        <w:tc>
          <w:tcPr>
            <w:tcW w:w="1701" w:type="dxa"/>
          </w:tcPr>
          <w:p w:rsidR="006A79FB" w:rsidRPr="003B42C3" w:rsidRDefault="006A79FB" w:rsidP="00FF1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3006</w:t>
            </w:r>
          </w:p>
        </w:tc>
        <w:tc>
          <w:tcPr>
            <w:tcW w:w="170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3341</w:t>
            </w:r>
          </w:p>
        </w:tc>
        <w:tc>
          <w:tcPr>
            <w:tcW w:w="238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+335</w:t>
            </w:r>
          </w:p>
        </w:tc>
      </w:tr>
      <w:tr w:rsidR="006A79FB" w:rsidRPr="003B42C3" w:rsidTr="006A79FB">
        <w:tc>
          <w:tcPr>
            <w:tcW w:w="4786" w:type="dxa"/>
          </w:tcPr>
          <w:p w:rsidR="006A79FB" w:rsidRPr="003B42C3" w:rsidRDefault="006A79FB" w:rsidP="003B42C3">
            <w:pPr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Справи про адміністративні правопорушення</w:t>
            </w:r>
          </w:p>
        </w:tc>
        <w:tc>
          <w:tcPr>
            <w:tcW w:w="1701" w:type="dxa"/>
          </w:tcPr>
          <w:p w:rsidR="006A79FB" w:rsidRPr="003B42C3" w:rsidRDefault="006A79FB" w:rsidP="00FF1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70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2381" w:type="dxa"/>
          </w:tcPr>
          <w:p w:rsidR="006A79FB" w:rsidRPr="003B42C3" w:rsidRDefault="007C72BA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+501</w:t>
            </w:r>
          </w:p>
        </w:tc>
      </w:tr>
    </w:tbl>
    <w:p w:rsidR="003B42C3" w:rsidRPr="003B42C3" w:rsidRDefault="003B42C3" w:rsidP="003B42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Здійснення кримінального судочинства</w:t>
      </w:r>
    </w:p>
    <w:p w:rsidR="00365BB0" w:rsidRPr="003B42C3" w:rsidRDefault="00365BB0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B42C3" w:rsidRPr="003B42C3" w:rsidRDefault="00365BB0" w:rsidP="00CB6BB9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3B42C3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3B42C3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="003B42C3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r w:rsidR="00A951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Коростенського</w:t>
      </w:r>
      <w:r w:rsidR="003B42C3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міськрайонного суду надійшло </w:t>
      </w:r>
      <w:r w:rsidR="000678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379 обвинувальних актів. </w:t>
      </w:r>
      <w:r w:rsidR="003B42C3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Прослідковується збільшення кількості клопотань слідчих та прокурорів під час досудового розслідування, які розглядаються слідчими суддями, що пов’язано із</w:t>
      </w:r>
      <w:r w:rsidR="00CB6B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внесенням змін до КПК України. </w:t>
      </w:r>
    </w:p>
    <w:p w:rsidR="003B42C3" w:rsidRPr="003B42C3" w:rsidRDefault="003B42C3" w:rsidP="003B42C3">
      <w:pPr>
        <w:spacing w:after="0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Таблиця 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0"/>
        <w:gridCol w:w="1060"/>
        <w:gridCol w:w="1774"/>
        <w:gridCol w:w="856"/>
        <w:gridCol w:w="850"/>
        <w:gridCol w:w="2691"/>
      </w:tblGrid>
      <w:tr w:rsidR="003B42C3" w:rsidRPr="003B42C3" w:rsidTr="00FF1AE4">
        <w:trPr>
          <w:trHeight w:val="60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FF1AE4">
        <w:trPr>
          <w:trHeight w:val="61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999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FF1AE4">
        <w:trPr>
          <w:trHeight w:val="33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Справи кримінального провадження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352</w:t>
            </w:r>
          </w:p>
        </w:tc>
      </w:tr>
      <w:tr w:rsidR="003B42C3" w:rsidRPr="003B42C3" w:rsidTr="00FF1AE4">
        <w:trPr>
          <w:trHeight w:val="4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06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  <w:r w:rsidR="000678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</w:tr>
      <w:tr w:rsidR="00F70057" w:rsidRPr="003B42C3" w:rsidTr="00FF1AE4">
        <w:trPr>
          <w:trHeight w:val="4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Pr="003B42C3" w:rsidRDefault="00F70057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надання міжнародної правової допомоги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57" w:rsidRDefault="00F70057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виконання судових рішень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F70057" w:rsidP="0006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  <w:r w:rsidR="000678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6455FB" w:rsidRPr="003B42C3" w:rsidTr="00FF1AE4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Pr="003B42C3" w:rsidRDefault="006455FB" w:rsidP="0006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Справи </w:t>
            </w:r>
            <w:r w:rsidR="000678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 відвід судді (слідчого судді)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5FB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FF1AE4">
        <w:trPr>
          <w:trHeight w:val="30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Кримінальні справи, матеріали (КПК 1960 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</w:tr>
      <w:tr w:rsidR="003B42C3" w:rsidRPr="003B42C3" w:rsidTr="00FF1AE4">
        <w:trPr>
          <w:trHeight w:val="31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3764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2492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C3" w:rsidRPr="003B42C3" w:rsidRDefault="000678D5" w:rsidP="00F7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405</w:t>
            </w:r>
          </w:p>
        </w:tc>
      </w:tr>
    </w:tbl>
    <w:p w:rsidR="002E6553" w:rsidRDefault="002E655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F75DB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="002E65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визначено спеціалізацію суддів, відповідно до якої 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всі </w:t>
      </w:r>
      <w:r w:rsidR="00365B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судді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глядають кримінальні справи 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(1 суддя Тимошенко В.М. без повноважень) 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</w:t>
      </w:r>
      <w:r w:rsidR="00365B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оє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слідчи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судд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9909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Волкова Н.Я.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Шульга О.М.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розгляда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ють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клопотання, скарги, заяви під час досудового розслідування. </w:t>
      </w:r>
    </w:p>
    <w:p w:rsidR="003B42C3" w:rsidRPr="00613B9C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Загальна кількість розглянутих кримінальних проваджень становить </w:t>
      </w:r>
      <w:r w:rsidR="00A4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40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A4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(в 201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A4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 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320</w:t>
      </w:r>
      <w:r w:rsidR="00A4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 на 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проваджень 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більше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ніж розглянуто у 201</w:t>
      </w:r>
      <w:r w:rsidR="00AA2F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році. З них найбільшу кількість становлять: злочини проти власності (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3F7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91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злочини 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сфері наркотичних засобів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3F7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42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злочини проти життя та здоров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особи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3F7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46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загальної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кількості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розглянутих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справ,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неповнолітніх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становлять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3F7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жінок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="003F70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613B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 справи.</w:t>
      </w:r>
    </w:p>
    <w:p w:rsid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потерпілих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201</w:t>
      </w:r>
      <w:r w:rsidR="002E74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ік </w:t>
      </w:r>
      <w:r w:rsidR="002E74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становить 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74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251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</w:t>
      </w:r>
      <w:proofErr w:type="spellStart"/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</w:t>
      </w:r>
      <w:r w:rsidR="002E74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gram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proofErr w:type="gram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них </w:t>
      </w:r>
      <w:r w:rsidR="002E74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111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чол.-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жінки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2E74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неповнолітні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юридичних осіб,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заподіяно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шкоду – </w:t>
      </w:r>
      <w:r w:rsidR="008524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B421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Матеріальної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моральної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шкоди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заподіяної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внаслідок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злочину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судом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визнано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="00365B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суму </w:t>
      </w:r>
      <w:r w:rsidR="00B421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6893758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61FB" w:rsidRPr="002361FB" w:rsidRDefault="002361FB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В </w:t>
      </w:r>
      <w:proofErr w:type="spellStart"/>
      <w:proofErr w:type="gram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наведен</w:t>
      </w:r>
      <w:proofErr w:type="gram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ій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діаграмі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 можна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прослідкувати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причини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відкладення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розгляду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</w:t>
      </w:r>
    </w:p>
    <w:p w:rsidR="00B25326" w:rsidRPr="00B25326" w:rsidRDefault="00B25326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3B42C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Діаграма</w:t>
      </w:r>
      <w:proofErr w:type="spellEnd"/>
      <w:r w:rsidRPr="003B42C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2</w:t>
      </w:r>
    </w:p>
    <w:p w:rsidR="003B42C3" w:rsidRP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52490" cy="25273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Здійснення </w:t>
      </w:r>
      <w:proofErr w:type="spellStart"/>
      <w:proofErr w:type="gramStart"/>
      <w:r w:rsidRPr="003B42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адм</w:t>
      </w:r>
      <w:proofErr w:type="gramEnd"/>
      <w:r w:rsidRPr="003B42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іністративного</w:t>
      </w:r>
      <w:proofErr w:type="spellEnd"/>
      <w:r w:rsidRPr="003B42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судочинства</w:t>
      </w:r>
    </w:p>
    <w:p w:rsidR="00B25326" w:rsidRPr="00B25326" w:rsidRDefault="00B25326" w:rsidP="003B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Упродовж 201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у </w:t>
      </w:r>
      <w:r w:rsidR="002361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перебувало 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465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адміністративних справ та матеріалів, що на 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121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адміністративн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більше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ніж у 201</w:t>
      </w:r>
      <w:r w:rsidR="002730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році, в якому цей показник становив </w:t>
      </w:r>
      <w:r w:rsidR="00D128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344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</w:t>
      </w:r>
      <w:r w:rsidR="00D128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Вагоме зростання надходження адміністративних позовів у 201</w:t>
      </w:r>
      <w:r w:rsidR="00EE1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пов'язан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</w:t>
      </w:r>
      <w:r w:rsidR="00B253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розглядом справ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B253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стосовно</w:t>
      </w:r>
      <w:r w:rsidR="00B253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порушен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</w:t>
      </w:r>
      <w:r w:rsidR="00B253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 дорожнього руху, транспорту та перевезення пасажирів та справ щодо забезпечення громадського порядку та безпеки.</w:t>
      </w:r>
    </w:p>
    <w:p w:rsidR="00B443AF" w:rsidRDefault="00B443AF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Таблиця 3</w:t>
      </w:r>
    </w:p>
    <w:p w:rsidR="00B25326" w:rsidRPr="003B42C3" w:rsidRDefault="00B25326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9"/>
        <w:gridCol w:w="1690"/>
        <w:gridCol w:w="992"/>
        <w:gridCol w:w="1276"/>
        <w:gridCol w:w="992"/>
        <w:gridCol w:w="992"/>
        <w:gridCol w:w="2552"/>
      </w:tblGrid>
      <w:tr w:rsidR="003B42C3" w:rsidRPr="003B42C3" w:rsidTr="00FF1AE4">
        <w:trPr>
          <w:trHeight w:val="60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FF1AE4">
        <w:trPr>
          <w:trHeight w:val="6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1146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FF1AE4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адміністративне судочинство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Позовні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61FB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FF1AE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</w:tr>
      <w:tr w:rsidR="003B42C3" w:rsidRPr="003B42C3" w:rsidTr="00FF1AE4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в порядку виконання судових рішень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41</w:t>
            </w:r>
          </w:p>
        </w:tc>
      </w:tr>
      <w:tr w:rsidR="003B42C3" w:rsidRPr="003B42C3" w:rsidTr="00FF1AE4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Справи про перегляд судового рішення за нововиявленими або виключними обставинами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B25326" w:rsidP="002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57</w:t>
            </w:r>
          </w:p>
        </w:tc>
      </w:tr>
    </w:tbl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3B42C3" w:rsidRPr="003B42C3" w:rsidRDefault="003B42C3" w:rsidP="003B42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Результати розгляду адміністративних справ та матеріалів  у 201</w:t>
      </w:r>
      <w:r w:rsidR="00CF3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році</w:t>
      </w:r>
    </w:p>
    <w:p w:rsid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 xml:space="preserve">Діаграма </w:t>
      </w:r>
      <w:r w:rsidR="00EC1C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3</w:t>
      </w:r>
    </w:p>
    <w:p w:rsidR="003117B6" w:rsidRPr="003B42C3" w:rsidRDefault="003117B6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374005" cy="1708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17B6" w:rsidRPr="003B42C3" w:rsidRDefault="003117B6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розгляду справ основними причинами відкладення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судових засідань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були неявки учасників процесу.</w:t>
      </w:r>
    </w:p>
    <w:p w:rsidR="00672692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кінець звітного періоду 201</w:t>
      </w:r>
      <w:r w:rsidR="00FC29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залишил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ись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нерозглянут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ими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адміністративн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 справа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матеріалів.</w:t>
      </w:r>
      <w:r w:rsidR="00B13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72692" w:rsidRPr="003B42C3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Здійснення цивільного судочинства</w:t>
      </w:r>
    </w:p>
    <w:p w:rsidR="00672692" w:rsidRPr="003B42C3" w:rsidRDefault="00672692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B42C3" w:rsidRPr="00B443AF" w:rsidRDefault="003B42C3" w:rsidP="003B4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Протягом 201</w:t>
      </w:r>
      <w:r w:rsidR="00FC29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в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провадженні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перебувал</w:t>
      </w:r>
      <w:proofErr w:type="spellEnd"/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CE0D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341</w:t>
      </w:r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цивільн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справ та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матеріалів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урахуванням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залишків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що на </w:t>
      </w:r>
      <w:r w:rsidR="00CE0D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335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E0D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більше </w:t>
      </w:r>
      <w:proofErr w:type="spellStart"/>
      <w:r w:rsidR="00B443AF">
        <w:rPr>
          <w:rFonts w:ascii="Times New Roman" w:eastAsia="Times New Roman" w:hAnsi="Times New Roman" w:cs="Times New Roman"/>
          <w:sz w:val="24"/>
          <w:szCs w:val="24"/>
          <w:lang w:eastAsia="uk-UA"/>
        </w:rPr>
        <w:t>ніж</w:t>
      </w:r>
      <w:proofErr w:type="spellEnd"/>
      <w:r w:rsidR="00B443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201</w:t>
      </w:r>
      <w:r w:rsidR="00CE0D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B443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443AF">
        <w:rPr>
          <w:rFonts w:ascii="Times New Roman" w:eastAsia="Times New Roman" w:hAnsi="Times New Roman" w:cs="Times New Roman"/>
          <w:sz w:val="24"/>
          <w:szCs w:val="24"/>
          <w:lang w:eastAsia="uk-UA"/>
        </w:rPr>
        <w:t>році</w:t>
      </w:r>
      <w:proofErr w:type="spellEnd"/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gramStart"/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 </w:t>
      </w:r>
      <w:proofErr w:type="gramEnd"/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201</w:t>
      </w:r>
      <w:r w:rsidR="00CE0D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 </w:t>
      </w:r>
      <w:r w:rsidR="00CE0D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3006</w:t>
      </w:r>
      <w:r w:rsidR="00B443A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).</w:t>
      </w:r>
    </w:p>
    <w:p w:rsidR="003B42C3" w:rsidRDefault="00B443AF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Таблиця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4</w:t>
      </w:r>
    </w:p>
    <w:p w:rsidR="00672692" w:rsidRPr="00B443AF" w:rsidRDefault="00672692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8"/>
        <w:gridCol w:w="2323"/>
        <w:gridCol w:w="2323"/>
        <w:gridCol w:w="2591"/>
      </w:tblGrid>
      <w:tr w:rsidR="00257BF6" w:rsidRPr="003B42C3" w:rsidTr="00FF1AE4">
        <w:trPr>
          <w:trHeight w:val="788"/>
        </w:trPr>
        <w:tc>
          <w:tcPr>
            <w:tcW w:w="2548" w:type="dxa"/>
          </w:tcPr>
          <w:p w:rsidR="00257BF6" w:rsidRPr="003B42C3" w:rsidRDefault="00257BF6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Перебувало у провадженні суду</w:t>
            </w:r>
          </w:p>
        </w:tc>
        <w:tc>
          <w:tcPr>
            <w:tcW w:w="2323" w:type="dxa"/>
          </w:tcPr>
          <w:p w:rsidR="00257BF6" w:rsidRPr="003B42C3" w:rsidRDefault="00257BF6" w:rsidP="00FF1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2018 рік</w:t>
            </w:r>
          </w:p>
        </w:tc>
        <w:tc>
          <w:tcPr>
            <w:tcW w:w="2323" w:type="dxa"/>
          </w:tcPr>
          <w:p w:rsidR="00257BF6" w:rsidRPr="003B42C3" w:rsidRDefault="00257BF6" w:rsidP="00CE0D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2591" w:type="dxa"/>
          </w:tcPr>
          <w:p w:rsidR="00257BF6" w:rsidRPr="003B42C3" w:rsidRDefault="00257BF6" w:rsidP="003B4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2C3">
              <w:rPr>
                <w:rFonts w:ascii="Times New Roman" w:hAnsi="Times New Roman"/>
                <w:b/>
                <w:sz w:val="20"/>
                <w:szCs w:val="20"/>
              </w:rPr>
              <w:t>Динаміка +/-</w:t>
            </w:r>
          </w:p>
        </w:tc>
      </w:tr>
      <w:tr w:rsidR="00257BF6" w:rsidRPr="003B42C3" w:rsidTr="00FF1AE4">
        <w:trPr>
          <w:trHeight w:val="558"/>
        </w:trPr>
        <w:tc>
          <w:tcPr>
            <w:tcW w:w="2548" w:type="dxa"/>
          </w:tcPr>
          <w:p w:rsidR="00257BF6" w:rsidRPr="003B42C3" w:rsidRDefault="00257BF6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Позовне провадження</w:t>
            </w:r>
          </w:p>
        </w:tc>
        <w:tc>
          <w:tcPr>
            <w:tcW w:w="2323" w:type="dxa"/>
          </w:tcPr>
          <w:p w:rsidR="00257BF6" w:rsidRPr="003B42C3" w:rsidRDefault="00257BF6" w:rsidP="00FF1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323" w:type="dxa"/>
          </w:tcPr>
          <w:p w:rsidR="00257BF6" w:rsidRPr="003B42C3" w:rsidRDefault="00257BF6" w:rsidP="00CE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2591" w:type="dxa"/>
          </w:tcPr>
          <w:p w:rsidR="00257BF6" w:rsidRPr="003B42C3" w:rsidRDefault="00257BF6" w:rsidP="00257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+197</w:t>
            </w:r>
          </w:p>
        </w:tc>
      </w:tr>
      <w:tr w:rsidR="00257BF6" w:rsidRPr="003B42C3" w:rsidTr="00FF1AE4">
        <w:trPr>
          <w:trHeight w:val="694"/>
        </w:trPr>
        <w:tc>
          <w:tcPr>
            <w:tcW w:w="2548" w:type="dxa"/>
          </w:tcPr>
          <w:p w:rsidR="00257BF6" w:rsidRPr="003B42C3" w:rsidRDefault="00257BF6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Окреме провадження</w:t>
            </w:r>
          </w:p>
        </w:tc>
        <w:tc>
          <w:tcPr>
            <w:tcW w:w="2323" w:type="dxa"/>
          </w:tcPr>
          <w:p w:rsidR="00257BF6" w:rsidRPr="003B42C3" w:rsidRDefault="00257BF6" w:rsidP="00FF1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323" w:type="dxa"/>
          </w:tcPr>
          <w:p w:rsidR="00257BF6" w:rsidRPr="003B42C3" w:rsidRDefault="00257BF6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591" w:type="dxa"/>
          </w:tcPr>
          <w:p w:rsidR="00257BF6" w:rsidRPr="003B42C3" w:rsidRDefault="00257BF6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</w:tr>
      <w:tr w:rsidR="00257BF6" w:rsidRPr="003B42C3" w:rsidTr="00FF1AE4">
        <w:trPr>
          <w:trHeight w:val="703"/>
        </w:trPr>
        <w:tc>
          <w:tcPr>
            <w:tcW w:w="2548" w:type="dxa"/>
          </w:tcPr>
          <w:p w:rsidR="00257BF6" w:rsidRPr="003B42C3" w:rsidRDefault="00257BF6" w:rsidP="003B4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2C3">
              <w:rPr>
                <w:rFonts w:ascii="Times New Roman" w:hAnsi="Times New Roman"/>
                <w:sz w:val="20"/>
                <w:szCs w:val="20"/>
              </w:rPr>
              <w:t>Наказне провадження</w:t>
            </w:r>
          </w:p>
        </w:tc>
        <w:tc>
          <w:tcPr>
            <w:tcW w:w="2323" w:type="dxa"/>
          </w:tcPr>
          <w:p w:rsidR="00257BF6" w:rsidRPr="003B42C3" w:rsidRDefault="00257BF6" w:rsidP="00FF1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323" w:type="dxa"/>
          </w:tcPr>
          <w:p w:rsidR="00257BF6" w:rsidRPr="003B42C3" w:rsidRDefault="00257BF6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2591" w:type="dxa"/>
          </w:tcPr>
          <w:p w:rsidR="00257BF6" w:rsidRPr="003B42C3" w:rsidRDefault="00257BF6" w:rsidP="003B4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+141</w:t>
            </w:r>
          </w:p>
        </w:tc>
      </w:tr>
    </w:tbl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Кількість розглянутих заяв про видачу судового наказу – 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373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 них видано судових наказів – 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286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відмовлено у видачі судового наказу – 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672692" w:rsidRPr="003B42C3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Кількість розглянутих справ позовного провадження –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1744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1598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яких розглянуті з ухваленням рішення, 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C655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передані в інші суди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27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закрито провадження, </w:t>
      </w:r>
      <w:r w:rsidR="00F620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115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залишено без розгляду. </w:t>
      </w:r>
    </w:p>
    <w:p w:rsidR="00672692" w:rsidRPr="003B42C3" w:rsidRDefault="00672692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4B8F" w:rsidRPr="003B42C3" w:rsidRDefault="003B42C3" w:rsidP="00904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Справ окремого провадження розглянуто у кількості </w:t>
      </w:r>
      <w:r w:rsidR="003117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123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справ. У </w:t>
      </w:r>
      <w:r w:rsid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="003117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справах ухвалено</w:t>
      </w:r>
      <w:r w:rsidR="00904B8F" w:rsidRP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04B8F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рішення, 1</w:t>
      </w:r>
      <w:r w:rsidR="00904B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="003117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904B8F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C2A4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904B8F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задоволено, 1</w:t>
      </w:r>
      <w:r w:rsidR="003117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904B8F"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залишено без розгляду.</w:t>
      </w: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04B8F" w:rsidRDefault="00904B8F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2692" w:rsidRDefault="00672692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 xml:space="preserve">Таблиця </w:t>
      </w:r>
      <w:r w:rsidR="008B230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5</w:t>
      </w:r>
    </w:p>
    <w:tbl>
      <w:tblPr>
        <w:tblpPr w:leftFromText="180" w:rightFromText="180" w:vertAnchor="text" w:horzAnchor="margin" w:tblpX="-601" w:tblpY="-34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604"/>
        <w:gridCol w:w="2081"/>
        <w:gridCol w:w="709"/>
        <w:gridCol w:w="884"/>
        <w:gridCol w:w="993"/>
        <w:gridCol w:w="1559"/>
        <w:gridCol w:w="2517"/>
      </w:tblGrid>
      <w:tr w:rsidR="003B42C3" w:rsidRPr="003B42C3" w:rsidTr="00FF1AE4">
        <w:trPr>
          <w:trHeight w:val="600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FF1AE4">
        <w:trPr>
          <w:trHeight w:val="276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1363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FF1AE4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цивільне судочинство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видачу/скасування судового наказу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</w:tr>
      <w:tr w:rsidR="008C7171" w:rsidRPr="003B42C3" w:rsidTr="00FF1AE4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C7171" w:rsidRPr="003B42C3" w:rsidRDefault="008C7171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171" w:rsidRPr="003B42C3" w:rsidRDefault="008C7171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171" w:rsidRDefault="008C7171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Позовні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189</w:t>
            </w:r>
          </w:p>
        </w:tc>
      </w:tr>
      <w:tr w:rsidR="003B42C3" w:rsidRPr="003B42C3" w:rsidTr="00FF1AE4">
        <w:trPr>
          <w:trHeight w:val="2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 позовного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1497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458</w:t>
            </w:r>
          </w:p>
        </w:tc>
      </w:tr>
      <w:tr w:rsidR="003B42C3" w:rsidRPr="003B42C3" w:rsidTr="00FF1AE4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окремого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3B42C3" w:rsidRPr="003B42C3" w:rsidTr="00FF1AE4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Справи окремого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117B6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</w:tr>
      <w:tr w:rsidR="003B42C3" w:rsidRPr="003B42C3" w:rsidTr="00FF1AE4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перегляд заочного рішення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B42C3" w:rsidRPr="003B42C3" w:rsidTr="00FF1AE4">
        <w:trPr>
          <w:trHeight w:val="4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перегляд рішень, ухвал суду чи судових наказів у зв’язку з нововиявленими або виключними обставинами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B42C3" w:rsidRPr="003B42C3" w:rsidTr="00FF1AE4">
        <w:trPr>
          <w:trHeight w:val="3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відновлення втраченого судового провадження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553BFC" w:rsidRPr="003B42C3" w:rsidTr="00FF1AE4">
        <w:trPr>
          <w:trHeight w:val="3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FC" w:rsidRPr="003B42C3" w:rsidRDefault="00553BFC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3BFC" w:rsidRPr="003B42C3" w:rsidRDefault="00553BFC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Заяви про відвід судді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FC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FC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FC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FC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BFC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Скарги на дії або бездіяльність виконавчої служби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B42C3" w:rsidRPr="003B42C3" w:rsidTr="00FF1AE4">
        <w:trPr>
          <w:trHeight w:val="4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B42C3" w:rsidRPr="003B42C3" w:rsidTr="00FF1AE4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Доручення судів України / іноземних судів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1959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553BFC" w:rsidP="008C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779</w:t>
            </w:r>
          </w:p>
        </w:tc>
      </w:tr>
    </w:tbl>
    <w:p w:rsidR="003B42C3" w:rsidRDefault="003B42C3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Розгляд справ про адміністративні правопорушення</w:t>
      </w:r>
    </w:p>
    <w:p w:rsidR="008235D2" w:rsidRPr="003B42C3" w:rsidRDefault="008235D2" w:rsidP="003B42C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Упродовж 201</w:t>
      </w:r>
      <w:r w:rsidR="00FF1A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до </w:t>
      </w:r>
      <w:r w:rsidR="00E56C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Коростенського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міськрайонного суду надійшло </w:t>
      </w:r>
      <w:r w:rsidR="00FF1A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2374</w:t>
      </w:r>
      <w:r w:rsidR="00E56C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</w:t>
      </w:r>
      <w:r w:rsidR="00FF1A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8235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</w:t>
      </w:r>
      <w:r w:rsidR="00E56C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FF1A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513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F1A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справ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адміністративні правопорушення більше в порівнянні з 201</w:t>
      </w:r>
      <w:r w:rsidR="00FF1A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роком.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49529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42C3" w:rsidRPr="003B42C3" w:rsidRDefault="003B42C3" w:rsidP="008F163B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Слід зазначити, що кількість справ щодо корупційних правопорушень, що надійшли до суду у 201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році</w:t>
      </w:r>
      <w:r w:rsidR="00DF03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збільшилась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F463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Найбільша кількість справ, що перебували  в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провадженні суду, за ст. 130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КУпАП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365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 ст. 124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КУпАП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208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 ст. 183-1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КУпАП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75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справ, за ст.173-2 КУпАП - 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612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 ст.172-20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КУпАП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 w:rsidR="00B231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справ. </w:t>
      </w:r>
    </w:p>
    <w:p w:rsidR="003B42C3" w:rsidRPr="003B42C3" w:rsidRDefault="003B42C3" w:rsidP="003B42C3">
      <w:pPr>
        <w:spacing w:after="0"/>
        <w:ind w:left="7920" w:firstLine="72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Таблиця </w:t>
      </w:r>
      <w:r w:rsidR="00DA4E6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6</w:t>
      </w:r>
    </w:p>
    <w:tbl>
      <w:tblPr>
        <w:tblW w:w="10501" w:type="dxa"/>
        <w:tblInd w:w="-459" w:type="dxa"/>
        <w:tblLook w:val="04A0" w:firstRow="1" w:lastRow="0" w:firstColumn="1" w:lastColumn="0" w:noHBand="0" w:noVBand="1"/>
      </w:tblPr>
      <w:tblGrid>
        <w:gridCol w:w="459"/>
        <w:gridCol w:w="2851"/>
        <w:gridCol w:w="1044"/>
        <w:gridCol w:w="2167"/>
        <w:gridCol w:w="1134"/>
        <w:gridCol w:w="1288"/>
        <w:gridCol w:w="1558"/>
      </w:tblGrid>
      <w:tr w:rsidR="003B42C3" w:rsidRPr="003B42C3" w:rsidTr="00FF1AE4">
        <w:trPr>
          <w:trHeight w:val="600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Перебувало в провадженні  справ і матеріалів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Розглянуто справ і матеріалів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3B42C3" w:rsidRPr="003B42C3" w:rsidTr="00FF1AE4">
        <w:trPr>
          <w:trHeight w:val="615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у тому числі </w:t>
            </w: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4A6C7D">
        <w:trPr>
          <w:trHeight w:val="811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надійшло у звітному періоді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 xml:space="preserve"> у т.ч. задоволено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</w:tr>
      <w:tr w:rsidR="003B42C3" w:rsidRPr="003B42C3" w:rsidTr="00FF1AE4">
        <w:trPr>
          <w:trHeight w:val="3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адміністративні правопорушення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Справи  про адміністративні правопорушення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2196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263</w:t>
            </w:r>
          </w:p>
        </w:tc>
      </w:tr>
      <w:tr w:rsidR="003B42C3" w:rsidRPr="003B42C3" w:rsidTr="00FF1AE4">
        <w:trPr>
          <w:trHeight w:val="3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у тому числі щодо корупційних правопорушень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4A6C7D">
        <w:trPr>
          <w:trHeight w:val="8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Справи у порядку виконання постанов у справах про адміністративні правопорушення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230D29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A4E67" w:rsidP="0023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="0023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3B42C3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B42C3" w:rsidRPr="003B42C3" w:rsidTr="00FF1AE4">
        <w:trPr>
          <w:trHeight w:val="26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  <w:p w:rsidR="003B42C3" w:rsidRPr="003B42C3" w:rsidRDefault="003B42C3" w:rsidP="003B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4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E0906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E0906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E0906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E0906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2C3" w:rsidRPr="003B42C3" w:rsidRDefault="00DE0906" w:rsidP="00DA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263</w:t>
            </w:r>
          </w:p>
        </w:tc>
      </w:tr>
    </w:tbl>
    <w:p w:rsidR="008F163B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штатного розпису у </w:t>
      </w:r>
      <w:r w:rsidR="007912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міськрайонному суді  1</w:t>
      </w:r>
      <w:r w:rsidR="007912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посад суддів. Станом на 01.01.20</w:t>
      </w:r>
      <w:r w:rsidR="00F83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фактично працює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 суддів, </w:t>
      </w:r>
      <w:r w:rsidR="00F83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</w:t>
      </w:r>
      <w:r w:rsidR="008F1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яких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без повноважень. 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зв’язку з чим збільшено навантаження на суддів, що впли</w:t>
      </w:r>
      <w:r w:rsidR="008F1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ває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оперативність розгляду справ.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Вивчення стану здійснення судочинства у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Коростенському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міськрайонному суді включено у плани роботи суду. Постійно проводяться аналізи та узагальнення щодо розгляду справ суддями. Суддями обговорюються допущені порушення норм матеріального та процесуального права при розгляді цивільних, адміністративних, кримінальних справ (проваджень), а також справ про адміністративні правопорушення, які потяг</w:t>
      </w:r>
      <w:r w:rsidR="008F1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скасування чи змін</w:t>
      </w:r>
      <w:r w:rsidR="008F16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рішень в апеляційному порядку. 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Провівши огляд даних судової статистики про стан здійснення правосуддя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Коростенським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міськрайонним судом Житомирської області за 201</w:t>
      </w:r>
      <w:r w:rsidR="00F83E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рік, можна зробити наступні висновки. </w:t>
      </w:r>
    </w:p>
    <w:p w:rsidR="003B42C3" w:rsidRP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Незважаючи на складність в роботі та значне фактичне навантаження,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Коростенський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міськрайонний</w:t>
      </w:r>
      <w:proofErr w:type="spellEnd"/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суд в цілому забезпечив правильне і своєчасне вирішення переважної більшості судових справ, що було досягнуто у результаті сумлінної роботи суддів та працівників апарату суду. </w:t>
      </w:r>
    </w:p>
    <w:p w:rsidR="003B42C3" w:rsidRDefault="003B42C3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Враховуючи вищевикладене, </w:t>
      </w:r>
      <w:r w:rsidR="007657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Коростенським</w:t>
      </w:r>
      <w:r w:rsidRPr="003B42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міськрайонним судом забезпечено належне здійснення судочинства у кримінальних, цивільних, адміністративних справах та справах про адміністративні правопорушення.</w:t>
      </w:r>
      <w:r w:rsidRPr="003B42C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</w:p>
    <w:p w:rsidR="004A6C7D" w:rsidRPr="003B42C3" w:rsidRDefault="004A6C7D" w:rsidP="003B42C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2E0517" w:rsidRPr="00765794" w:rsidRDefault="00765794" w:rsidP="00765794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794">
        <w:rPr>
          <w:rFonts w:ascii="Times New Roman" w:hAnsi="Times New Roman" w:cs="Times New Roman"/>
          <w:b/>
          <w:sz w:val="24"/>
          <w:szCs w:val="24"/>
          <w:lang w:val="uk-UA"/>
        </w:rPr>
        <w:t>Голова Коростенського міськрайонного суду</w:t>
      </w:r>
    </w:p>
    <w:p w:rsidR="00765794" w:rsidRDefault="00765794" w:rsidP="00765794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794">
        <w:rPr>
          <w:rFonts w:ascii="Times New Roman" w:hAnsi="Times New Roman" w:cs="Times New Roman"/>
          <w:b/>
          <w:sz w:val="24"/>
          <w:szCs w:val="24"/>
          <w:lang w:val="uk-UA"/>
        </w:rPr>
        <w:t>Житомирської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A6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A52EAA">
        <w:rPr>
          <w:rFonts w:ascii="Times New Roman" w:hAnsi="Times New Roman" w:cs="Times New Roman"/>
          <w:b/>
          <w:sz w:val="24"/>
          <w:szCs w:val="24"/>
          <w:lang w:val="uk-UA"/>
        </w:rPr>
        <w:t>Н.Я. Волкова</w:t>
      </w:r>
    </w:p>
    <w:p w:rsidR="004A6C7D" w:rsidRDefault="004A6C7D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8F163B" w:rsidRDefault="008F163B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8F163B" w:rsidRDefault="008F163B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8F163B" w:rsidRDefault="008F163B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8F163B" w:rsidRDefault="008F163B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8F163B" w:rsidRDefault="008F163B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 w:rsidRPr="00765794">
        <w:rPr>
          <w:rFonts w:ascii="Times New Roman" w:hAnsi="Times New Roman" w:cs="Times New Roman"/>
          <w:sz w:val="16"/>
          <w:szCs w:val="16"/>
          <w:lang w:val="uk-UA"/>
        </w:rPr>
        <w:t>Янкова (04142) 3-00-11</w:t>
      </w:r>
    </w:p>
    <w:p w:rsid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765794" w:rsidRPr="00765794" w:rsidRDefault="00765794" w:rsidP="00765794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</w:t>
      </w:r>
      <w:r w:rsidR="00F83EE7">
        <w:rPr>
          <w:rFonts w:ascii="Times New Roman" w:hAnsi="Times New Roman" w:cs="Times New Roman"/>
          <w:sz w:val="16"/>
          <w:szCs w:val="16"/>
          <w:lang w:val="uk-UA"/>
        </w:rPr>
        <w:t>3</w:t>
      </w:r>
      <w:r>
        <w:rPr>
          <w:rFonts w:ascii="Times New Roman" w:hAnsi="Times New Roman" w:cs="Times New Roman"/>
          <w:sz w:val="16"/>
          <w:szCs w:val="16"/>
          <w:lang w:val="uk-UA"/>
        </w:rPr>
        <w:t>.02.20</w:t>
      </w:r>
      <w:r w:rsidR="00F83EE7">
        <w:rPr>
          <w:rFonts w:ascii="Times New Roman" w:hAnsi="Times New Roman" w:cs="Times New Roman"/>
          <w:sz w:val="16"/>
          <w:szCs w:val="16"/>
          <w:lang w:val="uk-UA"/>
        </w:rPr>
        <w:t>20</w:t>
      </w:r>
    </w:p>
    <w:sectPr w:rsidR="00765794" w:rsidRPr="00765794" w:rsidSect="00FF1AE4">
      <w:pgSz w:w="12240" w:h="15840"/>
      <w:pgMar w:top="568" w:right="850" w:bottom="426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865"/>
    <w:multiLevelType w:val="hybridMultilevel"/>
    <w:tmpl w:val="9F0051F0"/>
    <w:lvl w:ilvl="0" w:tplc="2708D54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3"/>
    <w:rsid w:val="000037B9"/>
    <w:rsid w:val="000678D5"/>
    <w:rsid w:val="00141B93"/>
    <w:rsid w:val="001871DD"/>
    <w:rsid w:val="001F75DB"/>
    <w:rsid w:val="00230D29"/>
    <w:rsid w:val="002361FB"/>
    <w:rsid w:val="00257BF6"/>
    <w:rsid w:val="002730C4"/>
    <w:rsid w:val="002E0517"/>
    <w:rsid w:val="002E6553"/>
    <w:rsid w:val="002E74A6"/>
    <w:rsid w:val="003117B6"/>
    <w:rsid w:val="003465A9"/>
    <w:rsid w:val="0035563B"/>
    <w:rsid w:val="0036451D"/>
    <w:rsid w:val="00365BB0"/>
    <w:rsid w:val="003B42C3"/>
    <w:rsid w:val="003F7022"/>
    <w:rsid w:val="004A6C7D"/>
    <w:rsid w:val="005119BC"/>
    <w:rsid w:val="00553BFC"/>
    <w:rsid w:val="00560468"/>
    <w:rsid w:val="005F0888"/>
    <w:rsid w:val="00602EFF"/>
    <w:rsid w:val="00613B9C"/>
    <w:rsid w:val="006144A0"/>
    <w:rsid w:val="006455FB"/>
    <w:rsid w:val="006474E1"/>
    <w:rsid w:val="00672692"/>
    <w:rsid w:val="006A79FB"/>
    <w:rsid w:val="006D0ED6"/>
    <w:rsid w:val="00765794"/>
    <w:rsid w:val="0079124D"/>
    <w:rsid w:val="007C72BA"/>
    <w:rsid w:val="007F1FF6"/>
    <w:rsid w:val="00816D2A"/>
    <w:rsid w:val="008235D2"/>
    <w:rsid w:val="00832FB8"/>
    <w:rsid w:val="0085241D"/>
    <w:rsid w:val="008B174D"/>
    <w:rsid w:val="008B230F"/>
    <w:rsid w:val="008C7171"/>
    <w:rsid w:val="008F163B"/>
    <w:rsid w:val="00904B8F"/>
    <w:rsid w:val="009210EF"/>
    <w:rsid w:val="00962AAE"/>
    <w:rsid w:val="00990956"/>
    <w:rsid w:val="00A4148A"/>
    <w:rsid w:val="00A434E8"/>
    <w:rsid w:val="00A52EAA"/>
    <w:rsid w:val="00A93A96"/>
    <w:rsid w:val="00A951EF"/>
    <w:rsid w:val="00AA2F84"/>
    <w:rsid w:val="00AB0D7F"/>
    <w:rsid w:val="00AF61D3"/>
    <w:rsid w:val="00B131FE"/>
    <w:rsid w:val="00B23018"/>
    <w:rsid w:val="00B2319C"/>
    <w:rsid w:val="00B25326"/>
    <w:rsid w:val="00B42114"/>
    <w:rsid w:val="00B443AF"/>
    <w:rsid w:val="00BA4202"/>
    <w:rsid w:val="00BE1435"/>
    <w:rsid w:val="00C42B8B"/>
    <w:rsid w:val="00C655D9"/>
    <w:rsid w:val="00CB6BB9"/>
    <w:rsid w:val="00CD2DE0"/>
    <w:rsid w:val="00CE0D47"/>
    <w:rsid w:val="00CF3F59"/>
    <w:rsid w:val="00D12882"/>
    <w:rsid w:val="00D668EF"/>
    <w:rsid w:val="00D738DC"/>
    <w:rsid w:val="00D74C06"/>
    <w:rsid w:val="00DA4E67"/>
    <w:rsid w:val="00DD65B0"/>
    <w:rsid w:val="00DE0906"/>
    <w:rsid w:val="00DF03D9"/>
    <w:rsid w:val="00E254D8"/>
    <w:rsid w:val="00E56C90"/>
    <w:rsid w:val="00E7287D"/>
    <w:rsid w:val="00EC1CB9"/>
    <w:rsid w:val="00EC2A4C"/>
    <w:rsid w:val="00EE1A7E"/>
    <w:rsid w:val="00F179D7"/>
    <w:rsid w:val="00F46340"/>
    <w:rsid w:val="00F62010"/>
    <w:rsid w:val="00F70057"/>
    <w:rsid w:val="00F81FAF"/>
    <w:rsid w:val="00F83EE7"/>
    <w:rsid w:val="00F92B19"/>
    <w:rsid w:val="00FC290F"/>
    <w:rsid w:val="00FC5743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2C3"/>
    <w:pPr>
      <w:spacing w:after="0" w:line="240" w:lineRule="auto"/>
    </w:pPr>
    <w:rPr>
      <w:rFonts w:eastAsia="Times New Roman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468"/>
    <w:pPr>
      <w:ind w:left="720"/>
      <w:contextualSpacing/>
    </w:pPr>
  </w:style>
  <w:style w:type="paragraph" w:styleId="a7">
    <w:name w:val="No Spacing"/>
    <w:uiPriority w:val="1"/>
    <w:qFormat/>
    <w:rsid w:val="00765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42C3"/>
    <w:pPr>
      <w:spacing w:after="0" w:line="240" w:lineRule="auto"/>
    </w:pPr>
    <w:rPr>
      <w:rFonts w:eastAsia="Times New Roman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468"/>
    <w:pPr>
      <w:ind w:left="720"/>
      <w:contextualSpacing/>
    </w:pPr>
  </w:style>
  <w:style w:type="paragraph" w:styleId="a7">
    <w:name w:val="No Spacing"/>
    <w:uiPriority w:val="1"/>
    <w:qFormat/>
    <w:rsid w:val="0076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31147540983612E-2"/>
          <c:y val="5.2631578947368418E-2"/>
          <c:w val="0.58196721311475408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 кримінального судочинства</c:v>
                </c:pt>
              </c:strCache>
            </c:strRef>
          </c:tx>
          <c:spPr>
            <a:solidFill>
              <a:srgbClr val="9999FF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2019 рік </c:v>
                </c:pt>
                <c:pt idx="1">
                  <c:v>2018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3764</c:v>
                </c:pt>
                <c:pt idx="1">
                  <c:v>3497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Справи адміністративного судочинства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2019 рік </c:v>
                </c:pt>
                <c:pt idx="1">
                  <c:v>2018 рік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465</c:v>
                </c:pt>
                <c:pt idx="1">
                  <c:v>344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Справи цивільного судочинства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2019 рік </c:v>
                </c:pt>
                <c:pt idx="1">
                  <c:v>2018 рік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3341</c:v>
                </c:pt>
                <c:pt idx="1">
                  <c:v>3006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Справи про адміністративні правопорушення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2019 рік </c:v>
                </c:pt>
                <c:pt idx="1">
                  <c:v>2018 рік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2472</c:v>
                </c:pt>
                <c:pt idx="1">
                  <c:v>1971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2850688"/>
        <c:axId val="122852480"/>
        <c:axId val="0"/>
      </c:bar3DChart>
      <c:catAx>
        <c:axId val="12285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285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852480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2850688"/>
        <c:crosses val="autoZero"/>
        <c:crossBetween val="between"/>
      </c:valAx>
      <c:spPr>
        <a:noFill/>
        <a:ln w="19058">
          <a:noFill/>
        </a:ln>
      </c:spPr>
    </c:plotArea>
    <c:legend>
      <c:legendPos val="r"/>
      <c:layout>
        <c:manualLayout>
          <c:xMode val="edge"/>
          <c:yMode val="edge"/>
          <c:x val="0.67213114754098358"/>
          <c:y val="0.17543859649122806"/>
          <c:w val="0.32131147540983607"/>
          <c:h val="0.65350877192982459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14983713355049"/>
          <c:y val="4.296875E-2"/>
          <c:w val="0.49022801302931596"/>
          <c:h val="0.773437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Нездійснення доставки обвинуваченого</c:v>
                </c:pt>
              </c:strCache>
            </c:strRef>
          </c:tx>
          <c:spPr>
            <a:solidFill>
              <a:srgbClr val="9999FF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Неприбуття обвинуваченого</c:v>
                </c:pt>
              </c:strCache>
            </c:strRef>
          </c:tx>
          <c:spPr>
            <a:solidFill>
              <a:srgbClr val="993366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253</c:v>
                </c:pt>
                <c:pt idx="1">
                  <c:v>444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Хвороба обвинуваченого</c:v>
                </c:pt>
              </c:strCache>
            </c:strRef>
          </c:tx>
          <c:spPr>
            <a:solidFill>
              <a:srgbClr val="FFFFCC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Неприбуття прокурора</c:v>
                </c:pt>
              </c:strCache>
            </c:strRef>
          </c:tx>
          <c:spPr>
            <a:solidFill>
              <a:srgbClr val="CCFFFF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Неприбуття захисника</c:v>
                </c:pt>
              </c:strCache>
            </c:strRef>
          </c:tx>
          <c:spPr>
            <a:solidFill>
              <a:srgbClr val="660066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Неприбуття свідків, потерпілих</c:v>
                </c:pt>
              </c:strCache>
            </c:strRef>
          </c:tx>
          <c:spPr>
            <a:solidFill>
              <a:srgbClr val="FF8080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60</c:v>
                </c:pt>
                <c:pt idx="1">
                  <c:v>105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Інші підстави</c:v>
                </c:pt>
              </c:strCache>
            </c:strRef>
          </c:tx>
          <c:spPr>
            <a:solidFill>
              <a:srgbClr val="0066CC"/>
            </a:solidFill>
            <a:ln w="94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563</c:v>
                </c:pt>
                <c:pt idx="1">
                  <c:v>549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247232"/>
        <c:axId val="121248768"/>
      </c:barChart>
      <c:catAx>
        <c:axId val="121247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124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248768"/>
        <c:scaling>
          <c:orientation val="minMax"/>
        </c:scaling>
        <c:delete val="0"/>
        <c:axPos val="b"/>
        <c:majorGridlines>
          <c:spPr>
            <a:ln w="23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1247232"/>
        <c:crosses val="autoZero"/>
        <c:crossBetween val="between"/>
      </c:valAx>
      <c:spPr>
        <a:solidFill>
          <a:srgbClr val="C0C0C0"/>
        </a:solidFill>
        <a:ln w="94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72312703583058"/>
          <c:y val="0.1640625"/>
          <c:w val="0.33876221498371334"/>
          <c:h val="0.5234375"/>
        </c:manualLayout>
      </c:layout>
      <c:overlay val="0"/>
      <c:spPr>
        <a:noFill/>
        <a:ln w="2375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541516245487361E-2"/>
          <c:y val="5.3254437869822487E-2"/>
          <c:w val="0.6028880866425993"/>
          <c:h val="0.74556213017751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Відмовлено у відкритті провадження (0)</c:v>
                </c:pt>
              </c:strCache>
            </c:strRef>
          </c:tx>
          <c:spPr>
            <a:solidFill>
              <a:srgbClr val="9999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Повернуто (7)</c:v>
                </c:pt>
              </c:strCache>
            </c:strRef>
          </c:tx>
          <c:spPr>
            <a:solidFill>
              <a:srgbClr val="993366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Задоволено позов (57)</c:v>
                </c:pt>
              </c:strCache>
            </c:strRef>
          </c:tx>
          <c:spPr>
            <a:solidFill>
              <a:srgbClr val="FFFFCC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із прийняттям рішення (67)</c:v>
                </c:pt>
              </c:strCache>
            </c:strRef>
          </c:tx>
          <c:spPr>
            <a:solidFill>
              <a:srgbClr val="CCFFFF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Залишено без розгляду (2)</c:v>
                </c:pt>
              </c:strCache>
            </c:strRef>
          </c:tx>
          <c:spPr>
            <a:solidFill>
              <a:srgbClr val="660066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1305344"/>
        <c:axId val="123613184"/>
        <c:axId val="0"/>
      </c:bar3DChart>
      <c:catAx>
        <c:axId val="12130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361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613184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1305344"/>
        <c:crosses val="autoZero"/>
        <c:crossBetween val="between"/>
      </c:valAx>
      <c:spPr>
        <a:noFill/>
        <a:ln w="19053">
          <a:noFill/>
        </a:ln>
      </c:spPr>
    </c:plotArea>
    <c:legend>
      <c:legendPos val="r"/>
      <c:layout>
        <c:manualLayout>
          <c:xMode val="edge"/>
          <c:yMode val="edge"/>
          <c:x val="0.6732851985559567"/>
          <c:y val="5.9171597633136093E-3"/>
          <c:w val="0.31949458483754511"/>
          <c:h val="0.98224852071005919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546737213403876E-2"/>
          <c:y val="4.9450549450549448E-2"/>
          <c:w val="0.59082892416225752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 про адміністративні правопорушення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2361</c:v>
                </c:pt>
                <c:pt idx="1">
                  <c:v>1838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Справи в порядку виконання постанов у справах про адміністративні правопорушення</c:v>
                </c:pt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13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634432"/>
        <c:axId val="123635968"/>
        <c:axId val="0"/>
      </c:bar3DChart>
      <c:catAx>
        <c:axId val="12363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3635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635968"/>
        <c:scaling>
          <c:orientation val="minMax"/>
        </c:scaling>
        <c:delete val="0"/>
        <c:axPos val="l"/>
        <c:majorGridlines>
          <c:spPr>
            <a:ln w="23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23634432"/>
        <c:crosses val="autoZero"/>
        <c:crossBetween val="between"/>
      </c:valAx>
      <c:spPr>
        <a:noFill/>
        <a:ln w="19043">
          <a:noFill/>
        </a:ln>
      </c:spPr>
    </c:plotArea>
    <c:legend>
      <c:legendPos val="r"/>
      <c:layout>
        <c:manualLayout>
          <c:xMode val="edge"/>
          <c:yMode val="edge"/>
          <c:x val="0.6807760141093474"/>
          <c:y val="0.24175824175824176"/>
          <c:w val="0.31216931216931215"/>
          <c:h val="0.52197802197802201"/>
        </c:manualLayout>
      </c:layout>
      <c:overlay val="0"/>
      <c:spPr>
        <a:noFill/>
        <a:ln w="2380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BBE0-E1DC-4C05-A5BF-412256E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8444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Збаражська</dc:creator>
  <cp:lastModifiedBy>555</cp:lastModifiedBy>
  <cp:revision>2</cp:revision>
  <dcterms:created xsi:type="dcterms:W3CDTF">2020-02-07T08:15:00Z</dcterms:created>
  <dcterms:modified xsi:type="dcterms:W3CDTF">2020-02-07T08:15:00Z</dcterms:modified>
</cp:coreProperties>
</file>